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8BC" w:rsidRPr="00C408BC" w:rsidRDefault="00C408BC" w:rsidP="00C81348">
      <w:pPr>
        <w:jc w:val="both"/>
        <w:rPr>
          <w:rFonts w:ascii="Arial" w:hAnsi="Arial" w:cs="Arial"/>
          <w:b/>
          <w:sz w:val="24"/>
        </w:rPr>
      </w:pPr>
      <w:r w:rsidRPr="00C408BC">
        <w:rPr>
          <w:rFonts w:ascii="Arial" w:hAnsi="Arial" w:cs="Arial"/>
          <w:b/>
          <w:sz w:val="24"/>
        </w:rPr>
        <w:t>10. Desde su perspectiva. Los TLC han sido considerados una amenaza para la perdurabilidad del sector lácteo en Colombia ¿Cuál es su consideración?</w:t>
      </w:r>
    </w:p>
    <w:p w:rsidR="00C408BC" w:rsidRDefault="00C408BC" w:rsidP="00C81348">
      <w:pPr>
        <w:jc w:val="both"/>
        <w:rPr>
          <w:rFonts w:ascii="Arial" w:hAnsi="Arial" w:cs="Arial"/>
          <w:sz w:val="24"/>
        </w:rPr>
      </w:pPr>
    </w:p>
    <w:p w:rsidR="00C408BC" w:rsidRDefault="00C81348" w:rsidP="00C81348">
      <w:pPr>
        <w:jc w:val="both"/>
        <w:rPr>
          <w:rFonts w:ascii="Arial" w:hAnsi="Arial" w:cs="Arial"/>
          <w:sz w:val="24"/>
        </w:rPr>
      </w:pPr>
      <w:r>
        <w:rPr>
          <w:rFonts w:ascii="Arial" w:hAnsi="Arial" w:cs="Arial"/>
          <w:sz w:val="24"/>
        </w:rPr>
        <w:t>Cualquier análisis sobre el efecto de los TLC en la producción de lácteos tiene que partir de un análisis de las tendencias globales.</w:t>
      </w:r>
    </w:p>
    <w:p w:rsidR="00C81348" w:rsidRDefault="00C81348" w:rsidP="00C81348">
      <w:pPr>
        <w:jc w:val="both"/>
        <w:rPr>
          <w:rFonts w:ascii="Arial" w:hAnsi="Arial" w:cs="Arial"/>
          <w:sz w:val="24"/>
        </w:rPr>
      </w:pPr>
    </w:p>
    <w:p w:rsidR="00D87256" w:rsidRDefault="00C81348" w:rsidP="00C81348">
      <w:pPr>
        <w:jc w:val="both"/>
        <w:rPr>
          <w:rFonts w:ascii="Arial" w:hAnsi="Arial" w:cs="Arial"/>
          <w:sz w:val="24"/>
        </w:rPr>
      </w:pPr>
      <w:r>
        <w:rPr>
          <w:rFonts w:ascii="Arial" w:hAnsi="Arial" w:cs="Arial"/>
          <w:sz w:val="24"/>
        </w:rPr>
        <w:t xml:space="preserve">Ellas muestran que el mundo está tendiendo a una escasez relativa de alimentos por múltiples razones, entre las que cabe destacar el cambio climático, </w:t>
      </w:r>
      <w:r w:rsidR="00674952">
        <w:rPr>
          <w:rFonts w:ascii="Arial" w:hAnsi="Arial" w:cs="Arial"/>
          <w:sz w:val="24"/>
        </w:rPr>
        <w:t xml:space="preserve">la poca posibilidad de ampliación de la frontera agrícola </w:t>
      </w:r>
      <w:r>
        <w:rPr>
          <w:rFonts w:ascii="Arial" w:hAnsi="Arial" w:cs="Arial"/>
          <w:sz w:val="24"/>
        </w:rPr>
        <w:t>y el incremento de las clases medias</w:t>
      </w:r>
      <w:r w:rsidR="00674952">
        <w:rPr>
          <w:rFonts w:ascii="Arial" w:hAnsi="Arial" w:cs="Arial"/>
          <w:sz w:val="24"/>
        </w:rPr>
        <w:t>.</w:t>
      </w:r>
    </w:p>
    <w:p w:rsidR="00D87256" w:rsidRDefault="00D87256" w:rsidP="00C81348">
      <w:pPr>
        <w:jc w:val="both"/>
        <w:rPr>
          <w:rFonts w:ascii="Arial" w:hAnsi="Arial" w:cs="Arial"/>
          <w:sz w:val="24"/>
        </w:rPr>
      </w:pPr>
    </w:p>
    <w:p w:rsidR="00674952" w:rsidRDefault="00B37EFA" w:rsidP="00C81348">
      <w:pPr>
        <w:jc w:val="both"/>
        <w:rPr>
          <w:rFonts w:ascii="Arial" w:hAnsi="Arial" w:cs="Arial"/>
          <w:sz w:val="24"/>
        </w:rPr>
      </w:pPr>
      <w:r>
        <w:rPr>
          <w:rFonts w:ascii="Arial" w:hAnsi="Arial" w:cs="Arial"/>
          <w:sz w:val="24"/>
        </w:rPr>
        <w:t>A esta situación no escapan los productos lácteos.</w:t>
      </w:r>
      <w:r w:rsidR="00D87256">
        <w:rPr>
          <w:rFonts w:ascii="Arial" w:hAnsi="Arial" w:cs="Arial"/>
          <w:sz w:val="24"/>
        </w:rPr>
        <w:t xml:space="preserve"> Se espera que la demanda mundial crezca al 2.4% en </w:t>
      </w:r>
      <w:r w:rsidR="009154F2">
        <w:rPr>
          <w:rFonts w:ascii="Arial" w:hAnsi="Arial" w:cs="Arial"/>
          <w:sz w:val="24"/>
        </w:rPr>
        <w:t>l</w:t>
      </w:r>
      <w:r w:rsidR="00D87256">
        <w:rPr>
          <w:rFonts w:ascii="Arial" w:hAnsi="Arial" w:cs="Arial"/>
          <w:sz w:val="24"/>
        </w:rPr>
        <w:t>os próximos años, mientras que la producción lo hará al 1.5%</w:t>
      </w:r>
      <w:r w:rsidR="00D87256">
        <w:rPr>
          <w:rStyle w:val="Refdenotaalpie"/>
          <w:rFonts w:ascii="Arial" w:hAnsi="Arial" w:cs="Arial"/>
          <w:sz w:val="24"/>
        </w:rPr>
        <w:footnoteReference w:id="1"/>
      </w:r>
      <w:r w:rsidR="00D87256">
        <w:rPr>
          <w:rFonts w:ascii="Arial" w:hAnsi="Arial" w:cs="Arial"/>
          <w:sz w:val="24"/>
        </w:rPr>
        <w:t>.</w:t>
      </w:r>
    </w:p>
    <w:p w:rsidR="00674952" w:rsidRDefault="00674952" w:rsidP="00C81348">
      <w:pPr>
        <w:jc w:val="both"/>
        <w:rPr>
          <w:rFonts w:ascii="Arial" w:hAnsi="Arial" w:cs="Arial"/>
          <w:sz w:val="24"/>
        </w:rPr>
      </w:pPr>
    </w:p>
    <w:p w:rsidR="00674952" w:rsidRDefault="00C81348" w:rsidP="00C81348">
      <w:pPr>
        <w:jc w:val="both"/>
        <w:rPr>
          <w:rFonts w:ascii="Arial" w:hAnsi="Arial" w:cs="Arial"/>
          <w:sz w:val="24"/>
        </w:rPr>
      </w:pPr>
      <w:r>
        <w:rPr>
          <w:rFonts w:ascii="Arial" w:hAnsi="Arial" w:cs="Arial"/>
          <w:sz w:val="24"/>
        </w:rPr>
        <w:t xml:space="preserve">El primer factor está ocasionando situaciones de desabastecimiento relativo bien sea por sequías prolongadas o por inviernos muy fuertes. </w:t>
      </w:r>
      <w:r w:rsidR="00A22C21">
        <w:rPr>
          <w:rFonts w:ascii="Arial" w:hAnsi="Arial" w:cs="Arial"/>
          <w:sz w:val="24"/>
        </w:rPr>
        <w:t xml:space="preserve">Un ejemplo es Australia; según </w:t>
      </w:r>
      <w:r w:rsidR="00A22C21" w:rsidRPr="00A22C21">
        <w:rPr>
          <w:rFonts w:ascii="Arial" w:hAnsi="Arial" w:cs="Arial"/>
          <w:sz w:val="24"/>
        </w:rPr>
        <w:t xml:space="preserve">el secretario general de la </w:t>
      </w:r>
      <w:r w:rsidR="00A22C21">
        <w:rPr>
          <w:rFonts w:ascii="Arial" w:hAnsi="Arial" w:cs="Arial"/>
          <w:sz w:val="24"/>
        </w:rPr>
        <w:t>Federación Panamericana de Lechería (</w:t>
      </w:r>
      <w:proofErr w:type="spellStart"/>
      <w:r w:rsidR="00A22C21" w:rsidRPr="00A22C21">
        <w:rPr>
          <w:rFonts w:ascii="Arial" w:hAnsi="Arial" w:cs="Arial"/>
          <w:sz w:val="24"/>
        </w:rPr>
        <w:t>Fepale</w:t>
      </w:r>
      <w:proofErr w:type="spellEnd"/>
      <w:r w:rsidR="00A22C21">
        <w:rPr>
          <w:rFonts w:ascii="Arial" w:hAnsi="Arial" w:cs="Arial"/>
          <w:sz w:val="24"/>
        </w:rPr>
        <w:t>)</w:t>
      </w:r>
      <w:r w:rsidR="00A22C21" w:rsidRPr="00A22C21">
        <w:rPr>
          <w:rFonts w:ascii="Arial" w:hAnsi="Arial" w:cs="Arial"/>
          <w:sz w:val="24"/>
        </w:rPr>
        <w:t xml:space="preserve">, Eduardo Fresco León, </w:t>
      </w:r>
      <w:r w:rsidR="00A22C21">
        <w:rPr>
          <w:rFonts w:ascii="Arial" w:hAnsi="Arial" w:cs="Arial"/>
          <w:sz w:val="24"/>
        </w:rPr>
        <w:t>“</w:t>
      </w:r>
      <w:r w:rsidR="00A22C21" w:rsidRPr="00A22C21">
        <w:rPr>
          <w:rFonts w:ascii="Arial" w:hAnsi="Arial" w:cs="Arial"/>
          <w:sz w:val="24"/>
        </w:rPr>
        <w:t>Australia soporta adversidades climáticas constantes sin poder recuperar el volumen productivo que ostentaba hace seis años; volvió a crecer en 2011, pero en forma leve</w:t>
      </w:r>
      <w:r w:rsidR="00A22C21">
        <w:rPr>
          <w:rFonts w:ascii="Arial" w:hAnsi="Arial" w:cs="Arial"/>
          <w:sz w:val="24"/>
        </w:rPr>
        <w:t>”</w:t>
      </w:r>
      <w:r w:rsidR="00A22C21">
        <w:rPr>
          <w:rStyle w:val="Refdenotaalpie"/>
          <w:rFonts w:ascii="Arial" w:hAnsi="Arial" w:cs="Arial"/>
          <w:sz w:val="24"/>
        </w:rPr>
        <w:footnoteReference w:id="2"/>
      </w:r>
      <w:r w:rsidR="00A22C21" w:rsidRPr="00A22C21">
        <w:rPr>
          <w:rFonts w:ascii="Arial" w:hAnsi="Arial" w:cs="Arial"/>
          <w:sz w:val="24"/>
        </w:rPr>
        <w:t>.</w:t>
      </w:r>
    </w:p>
    <w:p w:rsidR="00674952" w:rsidRDefault="00674952" w:rsidP="00C81348">
      <w:pPr>
        <w:jc w:val="both"/>
        <w:rPr>
          <w:rFonts w:ascii="Arial" w:hAnsi="Arial" w:cs="Arial"/>
          <w:sz w:val="24"/>
        </w:rPr>
      </w:pPr>
    </w:p>
    <w:p w:rsidR="00674952" w:rsidRDefault="00C81348" w:rsidP="00C81348">
      <w:pPr>
        <w:jc w:val="both"/>
        <w:rPr>
          <w:rFonts w:ascii="Arial" w:hAnsi="Arial" w:cs="Arial"/>
          <w:sz w:val="24"/>
        </w:rPr>
      </w:pPr>
      <w:r>
        <w:rPr>
          <w:rFonts w:ascii="Arial" w:hAnsi="Arial" w:cs="Arial"/>
          <w:sz w:val="24"/>
        </w:rPr>
        <w:t xml:space="preserve">El segundo </w:t>
      </w:r>
      <w:r w:rsidR="00674952">
        <w:rPr>
          <w:rFonts w:ascii="Arial" w:hAnsi="Arial" w:cs="Arial"/>
          <w:sz w:val="24"/>
        </w:rPr>
        <w:t>es la restricción que enfrentan algunos países producto</w:t>
      </w:r>
      <w:r w:rsidR="00A22C21">
        <w:rPr>
          <w:rFonts w:ascii="Arial" w:hAnsi="Arial" w:cs="Arial"/>
          <w:sz w:val="24"/>
        </w:rPr>
        <w:t>res para ampliar la producción. Este aspecto se ha comentado con relación a la producción de biocombustibles en las economías desarrolladas, que se está dando mediante el desplazamiento de otras producciones agropecuarias, pues no pueden expandir la frontera agrícola por la escasez de tierras; este mismo fenómeno se predica para la lechería.</w:t>
      </w:r>
    </w:p>
    <w:p w:rsidR="00674952" w:rsidRDefault="00674952" w:rsidP="00C81348">
      <w:pPr>
        <w:jc w:val="both"/>
        <w:rPr>
          <w:rFonts w:ascii="Arial" w:hAnsi="Arial" w:cs="Arial"/>
          <w:sz w:val="24"/>
        </w:rPr>
      </w:pPr>
    </w:p>
    <w:p w:rsidR="00C81348" w:rsidRPr="00C83D9F" w:rsidRDefault="00674952" w:rsidP="00A22C21">
      <w:pPr>
        <w:jc w:val="both"/>
        <w:rPr>
          <w:rFonts w:ascii="Arial" w:hAnsi="Arial" w:cs="Arial"/>
          <w:sz w:val="24"/>
        </w:rPr>
      </w:pPr>
      <w:r>
        <w:rPr>
          <w:rFonts w:ascii="Arial" w:hAnsi="Arial" w:cs="Arial"/>
          <w:sz w:val="24"/>
        </w:rPr>
        <w:t xml:space="preserve">El tercero </w:t>
      </w:r>
      <w:r w:rsidR="00C81348">
        <w:rPr>
          <w:rFonts w:ascii="Arial" w:hAnsi="Arial" w:cs="Arial"/>
          <w:sz w:val="24"/>
        </w:rPr>
        <w:t>se relaciona con el crecimiento del ingreso per cápita en las economías emergentes, especialmente China e India, que repercute en la mejora en la dieta de una creciente población; este es uno de los factores que ha presionado al alza los precios internacionales en los años recientes.</w:t>
      </w:r>
    </w:p>
    <w:p w:rsidR="008D3785" w:rsidRDefault="008D3785" w:rsidP="00C81348">
      <w:pPr>
        <w:jc w:val="both"/>
        <w:rPr>
          <w:rFonts w:ascii="Arial" w:hAnsi="Arial" w:cs="Arial"/>
          <w:sz w:val="24"/>
        </w:rPr>
      </w:pPr>
    </w:p>
    <w:p w:rsidR="0043260F" w:rsidRDefault="0043260F" w:rsidP="0043260F">
      <w:pPr>
        <w:ind w:left="708"/>
        <w:jc w:val="both"/>
        <w:rPr>
          <w:rFonts w:ascii="Arial" w:hAnsi="Arial" w:cs="Arial"/>
          <w:sz w:val="24"/>
        </w:rPr>
      </w:pPr>
      <w:r>
        <w:rPr>
          <w:rFonts w:ascii="Arial" w:hAnsi="Arial" w:cs="Arial"/>
          <w:sz w:val="24"/>
        </w:rPr>
        <w:t>“S</w:t>
      </w:r>
      <w:r w:rsidRPr="0043260F">
        <w:rPr>
          <w:rFonts w:ascii="Arial" w:hAnsi="Arial" w:cs="Arial"/>
          <w:sz w:val="24"/>
        </w:rPr>
        <w:t>e</w:t>
      </w:r>
      <w:r>
        <w:rPr>
          <w:rFonts w:ascii="Arial" w:hAnsi="Arial" w:cs="Arial"/>
          <w:sz w:val="24"/>
        </w:rPr>
        <w:t xml:space="preserve"> </w:t>
      </w:r>
      <w:r w:rsidRPr="0043260F">
        <w:rPr>
          <w:rFonts w:ascii="Arial" w:hAnsi="Arial" w:cs="Arial"/>
          <w:sz w:val="24"/>
        </w:rPr>
        <w:t>espera que en el 2025 la clase</w:t>
      </w:r>
      <w:r>
        <w:rPr>
          <w:rFonts w:ascii="Arial" w:hAnsi="Arial" w:cs="Arial"/>
          <w:sz w:val="24"/>
        </w:rPr>
        <w:t xml:space="preserve"> media de la India llegue a los </w:t>
      </w:r>
      <w:r w:rsidRPr="0043260F">
        <w:rPr>
          <w:rFonts w:ascii="Arial" w:hAnsi="Arial" w:cs="Arial"/>
          <w:sz w:val="24"/>
        </w:rPr>
        <w:t>583 millones de personas - más de 10 veces la cifra actual,</w:t>
      </w:r>
      <w:r>
        <w:rPr>
          <w:rFonts w:ascii="Arial" w:hAnsi="Arial" w:cs="Arial"/>
          <w:sz w:val="24"/>
        </w:rPr>
        <w:t xml:space="preserve"> </w:t>
      </w:r>
      <w:r w:rsidRPr="0043260F">
        <w:rPr>
          <w:rFonts w:ascii="Arial" w:hAnsi="Arial" w:cs="Arial"/>
          <w:sz w:val="24"/>
        </w:rPr>
        <w:t xml:space="preserve">según </w:t>
      </w:r>
      <w:proofErr w:type="spellStart"/>
      <w:r w:rsidRPr="0043260F">
        <w:rPr>
          <w:rFonts w:ascii="Arial" w:hAnsi="Arial" w:cs="Arial"/>
          <w:sz w:val="24"/>
        </w:rPr>
        <w:t>Gfk</w:t>
      </w:r>
      <w:proofErr w:type="spellEnd"/>
      <w:r w:rsidRPr="0043260F">
        <w:rPr>
          <w:rFonts w:ascii="Arial" w:hAnsi="Arial" w:cs="Arial"/>
          <w:sz w:val="24"/>
        </w:rPr>
        <w:t xml:space="preserve"> </w:t>
      </w:r>
      <w:proofErr w:type="spellStart"/>
      <w:r w:rsidRPr="0043260F">
        <w:rPr>
          <w:rFonts w:ascii="Arial" w:hAnsi="Arial" w:cs="Arial"/>
          <w:sz w:val="24"/>
        </w:rPr>
        <w:t>Roper</w:t>
      </w:r>
      <w:proofErr w:type="spellEnd"/>
      <w:r w:rsidRPr="0043260F">
        <w:rPr>
          <w:rFonts w:ascii="Arial" w:hAnsi="Arial" w:cs="Arial"/>
          <w:sz w:val="24"/>
        </w:rPr>
        <w:t xml:space="preserve"> </w:t>
      </w:r>
      <w:proofErr w:type="spellStart"/>
      <w:r w:rsidRPr="0043260F">
        <w:rPr>
          <w:rFonts w:ascii="Arial" w:hAnsi="Arial" w:cs="Arial"/>
          <w:sz w:val="24"/>
        </w:rPr>
        <w:lastRenderedPageBreak/>
        <w:t>Consultin</w:t>
      </w:r>
      <w:r>
        <w:rPr>
          <w:rFonts w:ascii="Arial" w:hAnsi="Arial" w:cs="Arial"/>
          <w:sz w:val="24"/>
        </w:rPr>
        <w:t>g</w:t>
      </w:r>
      <w:proofErr w:type="spellEnd"/>
      <w:r>
        <w:rPr>
          <w:rFonts w:ascii="Arial" w:hAnsi="Arial" w:cs="Arial"/>
          <w:sz w:val="24"/>
        </w:rPr>
        <w:t xml:space="preserve">. La renta media disponible de </w:t>
      </w:r>
      <w:r w:rsidRPr="0043260F">
        <w:rPr>
          <w:rFonts w:ascii="Arial" w:hAnsi="Arial" w:cs="Arial"/>
          <w:sz w:val="24"/>
        </w:rPr>
        <w:t xml:space="preserve">los hogares de la India </w:t>
      </w:r>
      <w:r>
        <w:rPr>
          <w:rFonts w:ascii="Arial" w:hAnsi="Arial" w:cs="Arial"/>
          <w:sz w:val="24"/>
        </w:rPr>
        <w:t xml:space="preserve">(ingresos después de impuestos, </w:t>
      </w:r>
      <w:r w:rsidRPr="0043260F">
        <w:rPr>
          <w:rFonts w:ascii="Arial" w:hAnsi="Arial" w:cs="Arial"/>
          <w:sz w:val="24"/>
        </w:rPr>
        <w:t xml:space="preserve">ajustados a la inflación) se </w:t>
      </w:r>
      <w:r>
        <w:rPr>
          <w:rFonts w:ascii="Arial" w:hAnsi="Arial" w:cs="Arial"/>
          <w:sz w:val="24"/>
        </w:rPr>
        <w:t xml:space="preserve">espera que aumente un 5,3% cada </w:t>
      </w:r>
      <w:r w:rsidRPr="0043260F">
        <w:rPr>
          <w:rFonts w:ascii="Arial" w:hAnsi="Arial" w:cs="Arial"/>
          <w:sz w:val="24"/>
        </w:rPr>
        <w:t>año.</w:t>
      </w:r>
    </w:p>
    <w:p w:rsidR="0043260F" w:rsidRDefault="0043260F" w:rsidP="0043260F">
      <w:pPr>
        <w:ind w:left="708"/>
        <w:jc w:val="both"/>
        <w:rPr>
          <w:rFonts w:ascii="Arial" w:hAnsi="Arial" w:cs="Arial"/>
          <w:sz w:val="24"/>
        </w:rPr>
      </w:pPr>
    </w:p>
    <w:p w:rsidR="0043260F" w:rsidRDefault="0043260F" w:rsidP="0043260F">
      <w:pPr>
        <w:ind w:left="708"/>
        <w:jc w:val="both"/>
        <w:rPr>
          <w:rFonts w:ascii="Arial" w:hAnsi="Arial" w:cs="Arial"/>
          <w:sz w:val="24"/>
        </w:rPr>
      </w:pPr>
      <w:r w:rsidRPr="0043260F">
        <w:rPr>
          <w:rFonts w:ascii="Arial" w:hAnsi="Arial" w:cs="Arial"/>
          <w:sz w:val="24"/>
        </w:rPr>
        <w:t>Durante el mismo peri</w:t>
      </w:r>
      <w:r>
        <w:rPr>
          <w:rFonts w:ascii="Arial" w:hAnsi="Arial" w:cs="Arial"/>
          <w:sz w:val="24"/>
        </w:rPr>
        <w:t xml:space="preserve">odo, la clase media de China se </w:t>
      </w:r>
      <w:r w:rsidRPr="0043260F">
        <w:rPr>
          <w:rFonts w:ascii="Arial" w:hAnsi="Arial" w:cs="Arial"/>
          <w:sz w:val="24"/>
        </w:rPr>
        <w:t>espera que pase de ser el 43</w:t>
      </w:r>
      <w:r>
        <w:rPr>
          <w:rFonts w:ascii="Arial" w:hAnsi="Arial" w:cs="Arial"/>
          <w:sz w:val="24"/>
        </w:rPr>
        <w:t xml:space="preserve">% de la población total al 76%. </w:t>
      </w:r>
      <w:r w:rsidRPr="0043260F">
        <w:rPr>
          <w:rFonts w:ascii="Arial" w:hAnsi="Arial" w:cs="Arial"/>
          <w:sz w:val="24"/>
        </w:rPr>
        <w:t>Los ingresos han aumen</w:t>
      </w:r>
      <w:r>
        <w:rPr>
          <w:rFonts w:ascii="Arial" w:hAnsi="Arial" w:cs="Arial"/>
          <w:sz w:val="24"/>
        </w:rPr>
        <w:t xml:space="preserve">tado bruscamente en los últimos </w:t>
      </w:r>
      <w:r w:rsidRPr="0043260F">
        <w:rPr>
          <w:rFonts w:ascii="Arial" w:hAnsi="Arial" w:cs="Arial"/>
          <w:sz w:val="24"/>
        </w:rPr>
        <w:t>años; se espera que para el</w:t>
      </w:r>
      <w:r>
        <w:rPr>
          <w:rFonts w:ascii="Arial" w:hAnsi="Arial" w:cs="Arial"/>
          <w:sz w:val="24"/>
        </w:rPr>
        <w:t xml:space="preserve"> 2025 China sea el tercer mayor </w:t>
      </w:r>
      <w:r w:rsidRPr="0043260F">
        <w:rPr>
          <w:rFonts w:ascii="Arial" w:hAnsi="Arial" w:cs="Arial"/>
          <w:sz w:val="24"/>
        </w:rPr>
        <w:t>consumidor basado en su poder de compra</w:t>
      </w:r>
      <w:r>
        <w:rPr>
          <w:rFonts w:ascii="Arial" w:hAnsi="Arial" w:cs="Arial"/>
          <w:sz w:val="24"/>
        </w:rPr>
        <w:t>…”</w:t>
      </w:r>
      <w:r>
        <w:rPr>
          <w:rStyle w:val="Refdenotaalpie"/>
          <w:rFonts w:ascii="Arial" w:hAnsi="Arial" w:cs="Arial"/>
          <w:sz w:val="24"/>
        </w:rPr>
        <w:footnoteReference w:id="3"/>
      </w:r>
      <w:r>
        <w:rPr>
          <w:rFonts w:ascii="Arial" w:hAnsi="Arial" w:cs="Arial"/>
          <w:sz w:val="24"/>
        </w:rPr>
        <w:t xml:space="preserve">. </w:t>
      </w:r>
    </w:p>
    <w:p w:rsidR="0043260F" w:rsidRDefault="0043260F" w:rsidP="008D3785">
      <w:pPr>
        <w:jc w:val="both"/>
        <w:rPr>
          <w:rFonts w:ascii="Arial" w:hAnsi="Arial" w:cs="Arial"/>
          <w:sz w:val="24"/>
        </w:rPr>
      </w:pPr>
    </w:p>
    <w:p w:rsidR="008D3785" w:rsidRPr="0043260F" w:rsidRDefault="00C81348" w:rsidP="008D3785">
      <w:pPr>
        <w:jc w:val="both"/>
        <w:rPr>
          <w:rFonts w:ascii="Arial" w:hAnsi="Arial" w:cs="Arial"/>
          <w:sz w:val="24"/>
        </w:rPr>
      </w:pPr>
      <w:r>
        <w:rPr>
          <w:rFonts w:ascii="Arial" w:hAnsi="Arial" w:cs="Arial"/>
          <w:sz w:val="24"/>
        </w:rPr>
        <w:t>En el caso de China con su gran población, el país ha empezado a registrar faltantes en el abastecimiento de productos como pollo y lácteos, por lo que ha tenido que acudir al mercado internacional para abastecerse.</w:t>
      </w:r>
      <w:r w:rsidR="008D3785" w:rsidRPr="008D3785">
        <w:rPr>
          <w:rFonts w:ascii="Arial" w:hAnsi="Arial" w:cs="Arial"/>
          <w:sz w:val="24"/>
        </w:rPr>
        <w:t xml:space="preserve"> </w:t>
      </w:r>
      <w:proofErr w:type="spellStart"/>
      <w:r w:rsidR="008D3785" w:rsidRPr="00A22C21">
        <w:rPr>
          <w:rFonts w:ascii="Arial" w:hAnsi="Arial" w:cs="Arial"/>
          <w:sz w:val="24"/>
          <w:lang w:val="en-US"/>
        </w:rPr>
        <w:t>Según</w:t>
      </w:r>
      <w:proofErr w:type="spellEnd"/>
      <w:r w:rsidR="008D3785" w:rsidRPr="00A22C21">
        <w:rPr>
          <w:rFonts w:ascii="Arial" w:hAnsi="Arial" w:cs="Arial"/>
          <w:sz w:val="24"/>
          <w:lang w:val="en-US"/>
        </w:rPr>
        <w:t xml:space="preserve"> la OECD y la FAO “</w:t>
      </w:r>
      <w:r w:rsidR="00C83D9F">
        <w:rPr>
          <w:rFonts w:ascii="Arial" w:hAnsi="Arial" w:cs="Arial"/>
          <w:sz w:val="24"/>
          <w:lang w:val="en-US"/>
        </w:rPr>
        <w:t>i</w:t>
      </w:r>
      <w:r w:rsidR="008D3785" w:rsidRPr="00A22C21">
        <w:rPr>
          <w:rFonts w:ascii="Arial" w:hAnsi="Arial" w:cs="Arial"/>
          <w:sz w:val="24"/>
          <w:lang w:val="en-US"/>
        </w:rPr>
        <w:t>mports of milk powders to China have soared, fuelled</w:t>
      </w:r>
      <w:r w:rsidR="008D3785">
        <w:rPr>
          <w:rFonts w:ascii="Arial" w:hAnsi="Arial" w:cs="Arial"/>
          <w:sz w:val="24"/>
          <w:lang w:val="en-US"/>
        </w:rPr>
        <w:t xml:space="preserve"> </w:t>
      </w:r>
      <w:r w:rsidR="008D3785" w:rsidRPr="00A22C21">
        <w:rPr>
          <w:rFonts w:ascii="Arial" w:hAnsi="Arial" w:cs="Arial"/>
          <w:sz w:val="24"/>
          <w:lang w:val="en-US"/>
        </w:rPr>
        <w:t>by rising income but also food safety concerns, in the aftermath of the milk adulteration</w:t>
      </w:r>
      <w:r w:rsidR="008D3785">
        <w:rPr>
          <w:rFonts w:ascii="Arial" w:hAnsi="Arial" w:cs="Arial"/>
          <w:sz w:val="24"/>
          <w:lang w:val="en-US"/>
        </w:rPr>
        <w:t xml:space="preserve"> </w:t>
      </w:r>
      <w:r w:rsidR="008D3785" w:rsidRPr="00A22C21">
        <w:rPr>
          <w:rFonts w:ascii="Arial" w:hAnsi="Arial" w:cs="Arial"/>
          <w:sz w:val="24"/>
          <w:lang w:val="en-US"/>
        </w:rPr>
        <w:t>incidents</w:t>
      </w:r>
      <w:r w:rsidR="008D3785">
        <w:rPr>
          <w:rFonts w:ascii="Arial" w:hAnsi="Arial" w:cs="Arial"/>
          <w:sz w:val="24"/>
          <w:lang w:val="en-US"/>
        </w:rPr>
        <w:t>”</w:t>
      </w:r>
      <w:r w:rsidR="008D3785">
        <w:rPr>
          <w:rStyle w:val="Refdenotaalpie"/>
          <w:rFonts w:ascii="Arial" w:hAnsi="Arial" w:cs="Arial"/>
          <w:sz w:val="24"/>
          <w:lang w:val="en-US"/>
        </w:rPr>
        <w:footnoteReference w:id="4"/>
      </w:r>
      <w:r w:rsidR="008D3785" w:rsidRPr="00A22C21">
        <w:rPr>
          <w:rFonts w:ascii="Arial" w:hAnsi="Arial" w:cs="Arial"/>
          <w:sz w:val="24"/>
          <w:lang w:val="en-US"/>
        </w:rPr>
        <w:t>.</w:t>
      </w:r>
    </w:p>
    <w:p w:rsidR="004B3596" w:rsidRDefault="004B3596" w:rsidP="00C81348">
      <w:pPr>
        <w:jc w:val="both"/>
        <w:rPr>
          <w:rFonts w:ascii="Arial" w:hAnsi="Arial" w:cs="Arial"/>
          <w:sz w:val="24"/>
          <w:lang w:val="en-US"/>
        </w:rPr>
      </w:pPr>
    </w:p>
    <w:p w:rsidR="008D3785" w:rsidRPr="008D3785" w:rsidRDefault="008D3785" w:rsidP="00C81348">
      <w:pPr>
        <w:jc w:val="both"/>
        <w:rPr>
          <w:rFonts w:ascii="Arial" w:hAnsi="Arial" w:cs="Arial"/>
          <w:sz w:val="24"/>
        </w:rPr>
      </w:pPr>
      <w:r w:rsidRPr="008D3785">
        <w:rPr>
          <w:rFonts w:ascii="Arial" w:hAnsi="Arial" w:cs="Arial"/>
          <w:sz w:val="24"/>
        </w:rPr>
        <w:t>Aun cuando la OECD y la FAO proyectan para los pr</w:t>
      </w:r>
      <w:r>
        <w:rPr>
          <w:rFonts w:ascii="Arial" w:hAnsi="Arial" w:cs="Arial"/>
          <w:sz w:val="24"/>
        </w:rPr>
        <w:t xml:space="preserve">óximos años que las importaciones de China se mantendrán un poco por debajo de las de 2011, como resultado de las políticas de abastecimiento interno, lo más probable es que sigan una tendencia creciente como la registrada en el caso del pollo. </w:t>
      </w:r>
      <w:r w:rsidR="00CB434D">
        <w:rPr>
          <w:rFonts w:ascii="Arial" w:hAnsi="Arial" w:cs="Arial"/>
          <w:sz w:val="24"/>
        </w:rPr>
        <w:t xml:space="preserve">Ese comportamiento es probable porque los niveles de consumo per cápita de China y de otras economías asiáticas son muy bajos; pero el rápido crecimiento del ingreso ha repercutido en un alto dinamismo del consumo de productos lácteos (gráficos). </w:t>
      </w:r>
      <w:r w:rsidR="00C83D9F">
        <w:rPr>
          <w:rFonts w:ascii="Arial" w:hAnsi="Arial" w:cs="Arial"/>
          <w:sz w:val="24"/>
        </w:rPr>
        <w:t>Además, e</w:t>
      </w:r>
      <w:r>
        <w:rPr>
          <w:rFonts w:ascii="Arial" w:hAnsi="Arial" w:cs="Arial"/>
          <w:sz w:val="24"/>
        </w:rPr>
        <w:t>sto sumado a las bajas existencias de la Unión Europea y de Estados Unidos contribuirá a mantener altos los precios internacionales.</w:t>
      </w:r>
    </w:p>
    <w:p w:rsidR="008D3785" w:rsidRDefault="008D3785" w:rsidP="00C81348">
      <w:pPr>
        <w:jc w:val="both"/>
        <w:rPr>
          <w:rFonts w:ascii="Arial" w:hAnsi="Arial" w:cs="Arial"/>
          <w:sz w:val="24"/>
        </w:rPr>
      </w:pPr>
    </w:p>
    <w:p w:rsidR="002F249E" w:rsidRPr="008D3785" w:rsidRDefault="002F249E" w:rsidP="00C81348">
      <w:pPr>
        <w:jc w:val="both"/>
        <w:rPr>
          <w:rFonts w:ascii="Arial" w:hAnsi="Arial" w:cs="Arial"/>
          <w:sz w:val="24"/>
        </w:rPr>
      </w:pPr>
      <w:r>
        <w:rPr>
          <w:rFonts w:ascii="Arial" w:hAnsi="Arial" w:cs="Arial"/>
          <w:noProof/>
          <w:sz w:val="24"/>
          <w:lang w:eastAsia="es-CO"/>
        </w:rPr>
        <w:drawing>
          <wp:inline distT="0" distB="0" distL="0" distR="0">
            <wp:extent cx="5612130" cy="2987159"/>
            <wp:effectExtent l="0" t="0" r="762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2987159"/>
                    </a:xfrm>
                    <a:prstGeom prst="rect">
                      <a:avLst/>
                    </a:prstGeom>
                    <a:noFill/>
                    <a:ln>
                      <a:noFill/>
                    </a:ln>
                  </pic:spPr>
                </pic:pic>
              </a:graphicData>
            </a:graphic>
          </wp:inline>
        </w:drawing>
      </w:r>
    </w:p>
    <w:p w:rsidR="002F249E" w:rsidRDefault="002F249E" w:rsidP="00C81348">
      <w:pPr>
        <w:jc w:val="both"/>
        <w:rPr>
          <w:rFonts w:ascii="Arial" w:hAnsi="Arial" w:cs="Arial"/>
          <w:sz w:val="24"/>
        </w:rPr>
      </w:pPr>
    </w:p>
    <w:p w:rsidR="002F249E" w:rsidRDefault="002F249E" w:rsidP="00C81348">
      <w:pPr>
        <w:jc w:val="both"/>
        <w:rPr>
          <w:rFonts w:ascii="Arial" w:hAnsi="Arial" w:cs="Arial"/>
          <w:sz w:val="24"/>
        </w:rPr>
      </w:pPr>
    </w:p>
    <w:p w:rsidR="008D3785" w:rsidRPr="008D3785" w:rsidRDefault="008D3785" w:rsidP="00C81348">
      <w:pPr>
        <w:jc w:val="both"/>
        <w:rPr>
          <w:rFonts w:ascii="Arial" w:hAnsi="Arial" w:cs="Arial"/>
          <w:sz w:val="24"/>
        </w:rPr>
      </w:pPr>
      <w:r w:rsidRPr="008D3785">
        <w:rPr>
          <w:rFonts w:ascii="Arial" w:hAnsi="Arial" w:cs="Arial"/>
          <w:sz w:val="24"/>
        </w:rPr>
        <w:t>Este panorama luce propicio para Am</w:t>
      </w:r>
      <w:r>
        <w:rPr>
          <w:rFonts w:ascii="Arial" w:hAnsi="Arial" w:cs="Arial"/>
          <w:sz w:val="24"/>
        </w:rPr>
        <w:t>érica Latina, que tiene diversas condiciones naturales, como la abundancia de agua y tierras para expandir la frontera agrícola; es una oportunidad que deben capitalizar las economías.</w:t>
      </w:r>
    </w:p>
    <w:p w:rsidR="004B3596" w:rsidRPr="008D3785" w:rsidRDefault="004B3596" w:rsidP="00C81348">
      <w:pPr>
        <w:jc w:val="both"/>
        <w:rPr>
          <w:rFonts w:ascii="Arial" w:hAnsi="Arial" w:cs="Arial"/>
          <w:sz w:val="24"/>
        </w:rPr>
      </w:pPr>
    </w:p>
    <w:p w:rsidR="004B3596" w:rsidRDefault="008D3785" w:rsidP="00C81348">
      <w:pPr>
        <w:jc w:val="both"/>
        <w:rPr>
          <w:rFonts w:ascii="Arial" w:hAnsi="Arial" w:cs="Arial"/>
          <w:sz w:val="24"/>
        </w:rPr>
      </w:pPr>
      <w:r>
        <w:rPr>
          <w:rFonts w:ascii="Arial" w:hAnsi="Arial" w:cs="Arial"/>
          <w:sz w:val="24"/>
        </w:rPr>
        <w:t xml:space="preserve">Según </w:t>
      </w:r>
      <w:proofErr w:type="spellStart"/>
      <w:r w:rsidR="004B3596" w:rsidRPr="004B3596">
        <w:rPr>
          <w:rFonts w:ascii="Arial" w:hAnsi="Arial" w:cs="Arial"/>
          <w:sz w:val="24"/>
        </w:rPr>
        <w:t>Ekaterina</w:t>
      </w:r>
      <w:proofErr w:type="spellEnd"/>
      <w:r w:rsidR="004B3596" w:rsidRPr="004B3596">
        <w:rPr>
          <w:rFonts w:ascii="Arial" w:hAnsi="Arial" w:cs="Arial"/>
          <w:sz w:val="24"/>
        </w:rPr>
        <w:t xml:space="preserve"> </w:t>
      </w:r>
      <w:proofErr w:type="spellStart"/>
      <w:r w:rsidR="004B3596" w:rsidRPr="004B3596">
        <w:rPr>
          <w:rFonts w:ascii="Arial" w:hAnsi="Arial" w:cs="Arial"/>
          <w:sz w:val="24"/>
        </w:rPr>
        <w:t>Krivonos</w:t>
      </w:r>
      <w:proofErr w:type="spellEnd"/>
      <w:r w:rsidR="004B3596" w:rsidRPr="004B3596">
        <w:rPr>
          <w:rFonts w:ascii="Arial" w:hAnsi="Arial" w:cs="Arial"/>
          <w:sz w:val="24"/>
        </w:rPr>
        <w:t xml:space="preserve">, </w:t>
      </w:r>
      <w:r>
        <w:rPr>
          <w:rFonts w:ascii="Arial" w:hAnsi="Arial" w:cs="Arial"/>
          <w:sz w:val="24"/>
        </w:rPr>
        <w:t>de la FAO, “</w:t>
      </w:r>
      <w:r w:rsidR="004B3596" w:rsidRPr="004B3596">
        <w:rPr>
          <w:rFonts w:ascii="Arial" w:hAnsi="Arial" w:cs="Arial"/>
          <w:sz w:val="24"/>
        </w:rPr>
        <w:t>para el sector existe mucho potencial para América Latina y el Caribe dada la geografía y otros factores positivos. “Por ejemplo, hace algunos años, Chile no era un gran exportador, ahora está expandiendo sus exportaciones y es uno de los líderes en América Latina. El desafío es trabajar con el sector público y privado y aumentar la innovación”</w:t>
      </w:r>
      <w:r>
        <w:rPr>
          <w:rStyle w:val="Refdenotaalpie"/>
          <w:rFonts w:ascii="Arial" w:hAnsi="Arial" w:cs="Arial"/>
          <w:sz w:val="24"/>
        </w:rPr>
        <w:footnoteReference w:id="5"/>
      </w:r>
      <w:r w:rsidR="004B3596" w:rsidRPr="004B3596">
        <w:rPr>
          <w:rFonts w:ascii="Arial" w:hAnsi="Arial" w:cs="Arial"/>
          <w:sz w:val="24"/>
        </w:rPr>
        <w:t>.</w:t>
      </w:r>
    </w:p>
    <w:p w:rsidR="00CB434D" w:rsidRDefault="00CB434D" w:rsidP="00C81348">
      <w:pPr>
        <w:jc w:val="both"/>
        <w:rPr>
          <w:rFonts w:ascii="Arial" w:hAnsi="Arial" w:cs="Arial"/>
          <w:sz w:val="24"/>
        </w:rPr>
      </w:pPr>
    </w:p>
    <w:p w:rsidR="00871550" w:rsidRDefault="002F249E" w:rsidP="00C81348">
      <w:pPr>
        <w:jc w:val="both"/>
        <w:rPr>
          <w:rFonts w:ascii="Arial" w:hAnsi="Arial" w:cs="Arial"/>
          <w:sz w:val="24"/>
        </w:rPr>
      </w:pPr>
      <w:r>
        <w:rPr>
          <w:rFonts w:ascii="Arial" w:hAnsi="Arial" w:cs="Arial"/>
          <w:sz w:val="24"/>
        </w:rPr>
        <w:t xml:space="preserve">Este es el contexto esperado y cabe preguntarse si Colombia podrá aprovecharlo. Los TLC negociados han tenido en cuenta unos plazos adecuados </w:t>
      </w:r>
      <w:r w:rsidR="00C83D9F">
        <w:rPr>
          <w:rFonts w:ascii="Arial" w:hAnsi="Arial" w:cs="Arial"/>
          <w:sz w:val="24"/>
        </w:rPr>
        <w:t xml:space="preserve">de desgravación </w:t>
      </w:r>
      <w:r>
        <w:rPr>
          <w:rFonts w:ascii="Arial" w:hAnsi="Arial" w:cs="Arial"/>
          <w:sz w:val="24"/>
        </w:rPr>
        <w:t>para la mejorar de la productividad del sector y cabe esperar que los empresarios asuman con seriedad ese compromiso.</w:t>
      </w:r>
    </w:p>
    <w:p w:rsidR="00871550" w:rsidRDefault="00871550" w:rsidP="00C81348">
      <w:pPr>
        <w:jc w:val="both"/>
        <w:rPr>
          <w:rFonts w:ascii="Arial" w:hAnsi="Arial" w:cs="Arial"/>
          <w:sz w:val="24"/>
        </w:rPr>
      </w:pPr>
    </w:p>
    <w:p w:rsidR="00CB434D" w:rsidRDefault="002F249E" w:rsidP="00C81348">
      <w:pPr>
        <w:jc w:val="both"/>
        <w:rPr>
          <w:rFonts w:ascii="Arial" w:hAnsi="Arial" w:cs="Arial"/>
          <w:sz w:val="24"/>
        </w:rPr>
      </w:pPr>
      <w:r>
        <w:rPr>
          <w:rFonts w:ascii="Arial" w:hAnsi="Arial" w:cs="Arial"/>
          <w:sz w:val="24"/>
        </w:rPr>
        <w:t>El país no puede ser una excepción en la región.</w:t>
      </w:r>
      <w:r w:rsidR="00871550">
        <w:rPr>
          <w:rFonts w:ascii="Arial" w:hAnsi="Arial" w:cs="Arial"/>
          <w:sz w:val="24"/>
        </w:rPr>
        <w:t xml:space="preserve"> </w:t>
      </w:r>
      <w:r w:rsidR="00B21EFA">
        <w:rPr>
          <w:rFonts w:ascii="Arial" w:hAnsi="Arial" w:cs="Arial"/>
          <w:sz w:val="24"/>
        </w:rPr>
        <w:t xml:space="preserve">Como lo muestra una investigación de Mauricio Reina, de </w:t>
      </w:r>
      <w:proofErr w:type="spellStart"/>
      <w:r w:rsidR="00B21EFA">
        <w:rPr>
          <w:rFonts w:ascii="Arial" w:hAnsi="Arial" w:cs="Arial"/>
          <w:sz w:val="24"/>
        </w:rPr>
        <w:t>Fedesarrollo</w:t>
      </w:r>
      <w:proofErr w:type="spellEnd"/>
      <w:r w:rsidR="00B21EFA">
        <w:rPr>
          <w:rFonts w:ascii="Arial" w:hAnsi="Arial" w:cs="Arial"/>
          <w:sz w:val="24"/>
        </w:rPr>
        <w:t>, los otros países de América Latina que han firmado TLC con Estados Unidos han crecido sus exportaciones de lácteos a ese país.</w:t>
      </w:r>
      <w:r w:rsidR="00871550">
        <w:rPr>
          <w:rFonts w:ascii="Arial" w:hAnsi="Arial" w:cs="Arial"/>
          <w:sz w:val="24"/>
        </w:rPr>
        <w:t xml:space="preserve"> Las exportaciones de productos lácteos de </w:t>
      </w:r>
      <w:r w:rsidR="00871550">
        <w:rPr>
          <w:rFonts w:ascii="Arial" w:hAnsi="Arial" w:cs="Arial"/>
          <w:sz w:val="24"/>
        </w:rPr>
        <w:t xml:space="preserve">Chile </w:t>
      </w:r>
      <w:r w:rsidR="00871550">
        <w:rPr>
          <w:rFonts w:ascii="Arial" w:hAnsi="Arial" w:cs="Arial"/>
          <w:sz w:val="24"/>
        </w:rPr>
        <w:t>a ese mercado son 13 veces superiores a las de Colombia; las de Perú 5 veces, las de Centroamérica 16 veces y las de México 84</w:t>
      </w:r>
      <w:r w:rsidR="002D1B9D">
        <w:rPr>
          <w:rStyle w:val="Refdenotaalpie"/>
          <w:rFonts w:ascii="Arial" w:hAnsi="Arial" w:cs="Arial"/>
          <w:sz w:val="24"/>
        </w:rPr>
        <w:footnoteReference w:id="6"/>
      </w:r>
      <w:r w:rsidR="00871550">
        <w:rPr>
          <w:rFonts w:ascii="Arial" w:hAnsi="Arial" w:cs="Arial"/>
          <w:sz w:val="24"/>
        </w:rPr>
        <w:t>.</w:t>
      </w:r>
    </w:p>
    <w:p w:rsidR="00871550" w:rsidRDefault="00871550" w:rsidP="00C81348">
      <w:pPr>
        <w:jc w:val="both"/>
        <w:rPr>
          <w:rFonts w:ascii="Arial" w:hAnsi="Arial" w:cs="Arial"/>
          <w:sz w:val="24"/>
        </w:rPr>
      </w:pPr>
    </w:p>
    <w:p w:rsidR="00871550" w:rsidRPr="00C408BC" w:rsidRDefault="00871550" w:rsidP="00C81348">
      <w:pPr>
        <w:jc w:val="both"/>
        <w:rPr>
          <w:rFonts w:ascii="Arial" w:hAnsi="Arial" w:cs="Arial"/>
          <w:sz w:val="24"/>
        </w:rPr>
      </w:pPr>
      <w:r>
        <w:rPr>
          <w:rFonts w:ascii="Arial" w:hAnsi="Arial" w:cs="Arial"/>
          <w:sz w:val="24"/>
        </w:rPr>
        <w:t>Todos estos son países que negociaron un TLC en condiciones similares a las de Colombia. Por lo tanto, si de forma conjunta se hace un trabajo riguroso entre el gobierno y el sector privado</w:t>
      </w:r>
      <w:r w:rsidR="00E252B5">
        <w:rPr>
          <w:rFonts w:ascii="Arial" w:hAnsi="Arial" w:cs="Arial"/>
          <w:sz w:val="24"/>
        </w:rPr>
        <w:t>,</w:t>
      </w:r>
      <w:r>
        <w:rPr>
          <w:rFonts w:ascii="Arial" w:hAnsi="Arial" w:cs="Arial"/>
          <w:sz w:val="24"/>
        </w:rPr>
        <w:t xml:space="preserve"> no hay por qué poner en duda la perdurabilidad del sector lácteo colombiano.</w:t>
      </w:r>
    </w:p>
    <w:sectPr w:rsidR="00871550" w:rsidRPr="00C408BC">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F56" w:rsidRDefault="009E3F56" w:rsidP="00D87256">
      <w:r>
        <w:separator/>
      </w:r>
    </w:p>
  </w:endnote>
  <w:endnote w:type="continuationSeparator" w:id="0">
    <w:p w:rsidR="009E3F56" w:rsidRDefault="009E3F56" w:rsidP="00D87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108650"/>
      <w:docPartObj>
        <w:docPartGallery w:val="Page Numbers (Bottom of Page)"/>
        <w:docPartUnique/>
      </w:docPartObj>
    </w:sdtPr>
    <w:sdtContent>
      <w:p w:rsidR="009154F2" w:rsidRDefault="009154F2">
        <w:pPr>
          <w:pStyle w:val="Piedepgina"/>
          <w:jc w:val="right"/>
        </w:pPr>
        <w:r>
          <w:fldChar w:fldCharType="begin"/>
        </w:r>
        <w:r>
          <w:instrText>PAGE   \* MERGEFORMAT</w:instrText>
        </w:r>
        <w:r>
          <w:fldChar w:fldCharType="separate"/>
        </w:r>
        <w:r w:rsidR="0043260F" w:rsidRPr="0043260F">
          <w:rPr>
            <w:noProof/>
            <w:lang w:val="es-ES"/>
          </w:rPr>
          <w:t>3</w:t>
        </w:r>
        <w:r>
          <w:fldChar w:fldCharType="end"/>
        </w:r>
      </w:p>
    </w:sdtContent>
  </w:sdt>
  <w:p w:rsidR="009154F2" w:rsidRDefault="009154F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F56" w:rsidRDefault="009E3F56" w:rsidP="00D87256">
      <w:r>
        <w:separator/>
      </w:r>
    </w:p>
  </w:footnote>
  <w:footnote w:type="continuationSeparator" w:id="0">
    <w:p w:rsidR="009E3F56" w:rsidRDefault="009E3F56" w:rsidP="00D87256">
      <w:r>
        <w:continuationSeparator/>
      </w:r>
    </w:p>
  </w:footnote>
  <w:footnote w:id="1">
    <w:p w:rsidR="00D87256" w:rsidRDefault="00D87256" w:rsidP="00D87256">
      <w:pPr>
        <w:pStyle w:val="Textonotapie"/>
        <w:jc w:val="both"/>
      </w:pPr>
      <w:r>
        <w:rPr>
          <w:rStyle w:val="Refdenotaalpie"/>
        </w:rPr>
        <w:footnoteRef/>
      </w:r>
      <w:r>
        <w:t xml:space="preserve"> “</w:t>
      </w:r>
      <w:r>
        <w:t xml:space="preserve">La demanda mundial por productos lácteos se incrementará a un ritmo anual de 2,4% en los próximos cinco años, informó la experta Tim </w:t>
      </w:r>
      <w:proofErr w:type="spellStart"/>
      <w:r>
        <w:t>Hunt</w:t>
      </w:r>
      <w:proofErr w:type="spellEnd"/>
      <w:r>
        <w:t xml:space="preserve">, del </w:t>
      </w:r>
      <w:proofErr w:type="spellStart"/>
      <w:r>
        <w:t>Rabobank</w:t>
      </w:r>
      <w:proofErr w:type="spellEnd"/>
      <w:r>
        <w:t xml:space="preserve"> </w:t>
      </w:r>
      <w:proofErr w:type="spellStart"/>
      <w:r>
        <w:t>Group</w:t>
      </w:r>
      <w:proofErr w:type="spellEnd"/>
      <w:r>
        <w:t>, de Holanda, en la 20ª Asamblea Anual de la Federación Panamericana de Lechería (</w:t>
      </w:r>
      <w:proofErr w:type="spellStart"/>
      <w:r>
        <w:t>Fepale</w:t>
      </w:r>
      <w:proofErr w:type="spellEnd"/>
      <w:r>
        <w:t>)</w:t>
      </w:r>
      <w:r>
        <w:t>”</w:t>
      </w:r>
      <w:r>
        <w:t xml:space="preserve">. </w:t>
      </w:r>
    </w:p>
    <w:p w:rsidR="00D87256" w:rsidRDefault="00D87256" w:rsidP="00D87256">
      <w:pPr>
        <w:pStyle w:val="Textonotapie"/>
      </w:pPr>
    </w:p>
    <w:p w:rsidR="00D87256" w:rsidRPr="00D274BE" w:rsidRDefault="00D87256" w:rsidP="00D87256">
      <w:pPr>
        <w:pStyle w:val="Textonotapie"/>
        <w:jc w:val="both"/>
      </w:pPr>
      <w:r>
        <w:t>“</w:t>
      </w:r>
      <w:r>
        <w:t xml:space="preserve">Tras esa afirmación, el secretario general de la </w:t>
      </w:r>
      <w:proofErr w:type="spellStart"/>
      <w:r>
        <w:t>Fepale</w:t>
      </w:r>
      <w:proofErr w:type="spellEnd"/>
      <w:r>
        <w:t>, Eduardo Fresco León, avaló el dato y en diálogo con El Observador Agropecuario añadió que al mismo tiempo se ha detectado que la oferta no crecerá más del 1,5% “existiendo un margen para colocar en forma segura, y a buenos precios, los productos lácteos de todo el continente”</w:t>
      </w:r>
      <w:r w:rsidR="00D274BE">
        <w:t xml:space="preserve">. </w:t>
      </w:r>
      <w:r w:rsidR="00D274BE" w:rsidRPr="00D274BE">
        <w:t>América Econom</w:t>
      </w:r>
      <w:r w:rsidR="00D274BE">
        <w:t>ía “</w:t>
      </w:r>
      <w:r w:rsidR="00D274BE" w:rsidRPr="00D274BE">
        <w:t>Demanda mundial de lácteos crecerá a un ritmo anual de 2,4%</w:t>
      </w:r>
      <w:r w:rsidR="00D274BE">
        <w:t>”; Noviembre 2011.</w:t>
      </w:r>
      <w:r w:rsidRPr="00D274BE">
        <w:t xml:space="preserve"> </w:t>
      </w:r>
      <w:hyperlink r:id="rId1" w:history="1">
        <w:r w:rsidRPr="00D274BE">
          <w:rPr>
            <w:rStyle w:val="Hipervnculo"/>
          </w:rPr>
          <w:t>http://www.americaeconomia.com/negocios-industrias/demanda-mundial-de-lacteos-crecera-un-ritmo-anual-de-24</w:t>
        </w:r>
      </w:hyperlink>
      <w:r w:rsidRPr="00D274BE">
        <w:t>.</w:t>
      </w:r>
    </w:p>
  </w:footnote>
  <w:footnote w:id="2">
    <w:p w:rsidR="00A22C21" w:rsidRDefault="00A22C21">
      <w:pPr>
        <w:pStyle w:val="Textonotapie"/>
      </w:pPr>
      <w:r>
        <w:rPr>
          <w:rStyle w:val="Refdenotaalpie"/>
        </w:rPr>
        <w:footnoteRef/>
      </w:r>
      <w:r>
        <w:t xml:space="preserve"> </w:t>
      </w:r>
      <w:proofErr w:type="spellStart"/>
      <w:r>
        <w:t>Ibidem</w:t>
      </w:r>
      <w:proofErr w:type="spellEnd"/>
    </w:p>
  </w:footnote>
  <w:footnote w:id="3">
    <w:p w:rsidR="0043260F" w:rsidRDefault="0043260F" w:rsidP="0043260F">
      <w:pPr>
        <w:pStyle w:val="Textonotapie"/>
        <w:jc w:val="both"/>
      </w:pPr>
      <w:r>
        <w:rPr>
          <w:rStyle w:val="Refdenotaalpie"/>
        </w:rPr>
        <w:footnoteRef/>
      </w:r>
      <w:r>
        <w:t xml:space="preserve"> Índice Lácteo Tetra </w:t>
      </w:r>
      <w:proofErr w:type="spellStart"/>
      <w:r>
        <w:t>Pak</w:t>
      </w:r>
      <w:proofErr w:type="spellEnd"/>
      <w:r>
        <w:t xml:space="preserve">, Número 3 – julio 2010; página 8. Disponible en: </w:t>
      </w:r>
      <w:hyperlink r:id="rId2" w:history="1">
        <w:r w:rsidRPr="003B718E">
          <w:rPr>
            <w:rStyle w:val="Hipervnculo"/>
          </w:rPr>
          <w:t>http://www.tetrapak.com/es/SiteCollectionDocuments/Indice_Lacteo_de_Tetra_Pak/Indice_Lácteo_TP_3.pdf</w:t>
        </w:r>
      </w:hyperlink>
      <w:r>
        <w:t xml:space="preserve"> </w:t>
      </w:r>
    </w:p>
  </w:footnote>
  <w:footnote w:id="4">
    <w:p w:rsidR="008D3785" w:rsidRPr="008D3785" w:rsidRDefault="008D3785" w:rsidP="008D3785">
      <w:pPr>
        <w:pStyle w:val="Textonotapie"/>
        <w:rPr>
          <w:lang w:val="en-US"/>
        </w:rPr>
      </w:pPr>
      <w:r>
        <w:rPr>
          <w:rStyle w:val="Refdenotaalpie"/>
        </w:rPr>
        <w:footnoteRef/>
      </w:r>
      <w:r w:rsidRPr="008D3785">
        <w:rPr>
          <w:lang w:val="en-US"/>
        </w:rPr>
        <w:t xml:space="preserve"> OECD-FAO “Agricultural Outlook 2011-2020”. </w:t>
      </w:r>
      <w:proofErr w:type="spellStart"/>
      <w:proofErr w:type="gramStart"/>
      <w:r w:rsidRPr="008D3785">
        <w:rPr>
          <w:lang w:val="en-US"/>
        </w:rPr>
        <w:t>Página</w:t>
      </w:r>
      <w:proofErr w:type="spellEnd"/>
      <w:r w:rsidRPr="008D3785">
        <w:rPr>
          <w:lang w:val="en-US"/>
        </w:rPr>
        <w:t xml:space="preserve"> 160.</w:t>
      </w:r>
      <w:bookmarkStart w:id="0" w:name="_GoBack"/>
      <w:bookmarkEnd w:id="0"/>
      <w:proofErr w:type="gramEnd"/>
    </w:p>
  </w:footnote>
  <w:footnote w:id="5">
    <w:p w:rsidR="008D3785" w:rsidRPr="008D3785" w:rsidRDefault="008D3785" w:rsidP="002D1B9D">
      <w:pPr>
        <w:pStyle w:val="Textonotapie"/>
        <w:jc w:val="both"/>
        <w:rPr>
          <w:lang w:val="en-US"/>
        </w:rPr>
      </w:pPr>
      <w:r>
        <w:rPr>
          <w:rStyle w:val="Refdenotaalpie"/>
        </w:rPr>
        <w:footnoteRef/>
      </w:r>
      <w:r w:rsidRPr="008D3785">
        <w:rPr>
          <w:lang w:val="en-US"/>
        </w:rPr>
        <w:t xml:space="preserve"> </w:t>
      </w:r>
      <w:hyperlink r:id="rId3" w:history="1">
        <w:r w:rsidRPr="008D3785">
          <w:rPr>
            <w:rStyle w:val="Hipervnculo"/>
            <w:lang w:val="en-US"/>
          </w:rPr>
          <w:t>http://www.fepale.org/es/fepale-en-accion/64-noticias/387-se-realizo-la-30o-reunion-del-consejo-directivo-de-fepale.html</w:t>
        </w:r>
      </w:hyperlink>
    </w:p>
  </w:footnote>
  <w:footnote w:id="6">
    <w:p w:rsidR="002D1B9D" w:rsidRDefault="002D1B9D" w:rsidP="002D1B9D">
      <w:pPr>
        <w:pStyle w:val="Textonotapie"/>
        <w:jc w:val="both"/>
      </w:pPr>
      <w:r>
        <w:rPr>
          <w:rStyle w:val="Refdenotaalpie"/>
        </w:rPr>
        <w:footnoteRef/>
      </w:r>
      <w:r>
        <w:t xml:space="preserve"> Mauricio Reina “</w:t>
      </w:r>
      <w:r>
        <w:t>Bogotá región frente al TLC con</w:t>
      </w:r>
      <w:r>
        <w:t xml:space="preserve"> </w:t>
      </w:r>
      <w:r>
        <w:t>Estados Unidos</w:t>
      </w:r>
      <w:r>
        <w:t>”. Presentación en la Cámara de Comercio de Bogotá; 21 de marzo de 2012.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8BC"/>
    <w:rsid w:val="00103F9B"/>
    <w:rsid w:val="002D1B9D"/>
    <w:rsid w:val="002F249E"/>
    <w:rsid w:val="00330815"/>
    <w:rsid w:val="0043260F"/>
    <w:rsid w:val="004B3596"/>
    <w:rsid w:val="005D5979"/>
    <w:rsid w:val="00674952"/>
    <w:rsid w:val="00871550"/>
    <w:rsid w:val="008D3785"/>
    <w:rsid w:val="009154F2"/>
    <w:rsid w:val="009E3F56"/>
    <w:rsid w:val="00A22C21"/>
    <w:rsid w:val="00B21EFA"/>
    <w:rsid w:val="00B37EFA"/>
    <w:rsid w:val="00C408BC"/>
    <w:rsid w:val="00C81348"/>
    <w:rsid w:val="00C83D9F"/>
    <w:rsid w:val="00CB434D"/>
    <w:rsid w:val="00D274BE"/>
    <w:rsid w:val="00D87256"/>
    <w:rsid w:val="00E252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8BC"/>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semiHidden/>
    <w:unhideWhenUsed/>
    <w:rsid w:val="00C408BC"/>
  </w:style>
  <w:style w:type="character" w:customStyle="1" w:styleId="TextosinformatoCar">
    <w:name w:val="Texto sin formato Car"/>
    <w:basedOn w:val="Fuentedeprrafopredeter"/>
    <w:link w:val="Textosinformato"/>
    <w:uiPriority w:val="99"/>
    <w:semiHidden/>
    <w:rsid w:val="00C408BC"/>
    <w:rPr>
      <w:rFonts w:ascii="Calibri" w:hAnsi="Calibri" w:cs="Calibri"/>
    </w:rPr>
  </w:style>
  <w:style w:type="paragraph" w:styleId="Textodeglobo">
    <w:name w:val="Balloon Text"/>
    <w:basedOn w:val="Normal"/>
    <w:link w:val="TextodegloboCar"/>
    <w:uiPriority w:val="99"/>
    <w:semiHidden/>
    <w:unhideWhenUsed/>
    <w:rsid w:val="00C408BC"/>
    <w:rPr>
      <w:rFonts w:ascii="Tahoma" w:hAnsi="Tahoma" w:cs="Tahoma"/>
      <w:sz w:val="16"/>
      <w:szCs w:val="16"/>
    </w:rPr>
  </w:style>
  <w:style w:type="character" w:customStyle="1" w:styleId="TextodegloboCar">
    <w:name w:val="Texto de globo Car"/>
    <w:basedOn w:val="Fuentedeprrafopredeter"/>
    <w:link w:val="Textodeglobo"/>
    <w:uiPriority w:val="99"/>
    <w:semiHidden/>
    <w:rsid w:val="00C408BC"/>
    <w:rPr>
      <w:rFonts w:ascii="Tahoma" w:hAnsi="Tahoma" w:cs="Tahoma"/>
      <w:sz w:val="16"/>
      <w:szCs w:val="16"/>
    </w:rPr>
  </w:style>
  <w:style w:type="character" w:styleId="Hipervnculo">
    <w:name w:val="Hyperlink"/>
    <w:basedOn w:val="Fuentedeprrafopredeter"/>
    <w:uiPriority w:val="99"/>
    <w:unhideWhenUsed/>
    <w:rsid w:val="004B3596"/>
    <w:rPr>
      <w:color w:val="0000FF"/>
      <w:u w:val="single"/>
    </w:rPr>
  </w:style>
  <w:style w:type="paragraph" w:styleId="Textonotapie">
    <w:name w:val="footnote text"/>
    <w:basedOn w:val="Normal"/>
    <w:link w:val="TextonotapieCar"/>
    <w:uiPriority w:val="99"/>
    <w:semiHidden/>
    <w:unhideWhenUsed/>
    <w:rsid w:val="00D87256"/>
    <w:rPr>
      <w:sz w:val="20"/>
      <w:szCs w:val="20"/>
    </w:rPr>
  </w:style>
  <w:style w:type="character" w:customStyle="1" w:styleId="TextonotapieCar">
    <w:name w:val="Texto nota pie Car"/>
    <w:basedOn w:val="Fuentedeprrafopredeter"/>
    <w:link w:val="Textonotapie"/>
    <w:uiPriority w:val="99"/>
    <w:semiHidden/>
    <w:rsid w:val="00D87256"/>
    <w:rPr>
      <w:rFonts w:ascii="Calibri" w:hAnsi="Calibri" w:cs="Calibri"/>
      <w:sz w:val="20"/>
      <w:szCs w:val="20"/>
    </w:rPr>
  </w:style>
  <w:style w:type="character" w:styleId="Refdenotaalpie">
    <w:name w:val="footnote reference"/>
    <w:basedOn w:val="Fuentedeprrafopredeter"/>
    <w:uiPriority w:val="99"/>
    <w:semiHidden/>
    <w:unhideWhenUsed/>
    <w:rsid w:val="00D87256"/>
    <w:rPr>
      <w:vertAlign w:val="superscript"/>
    </w:rPr>
  </w:style>
  <w:style w:type="paragraph" w:styleId="Encabezado">
    <w:name w:val="header"/>
    <w:basedOn w:val="Normal"/>
    <w:link w:val="EncabezadoCar"/>
    <w:uiPriority w:val="99"/>
    <w:unhideWhenUsed/>
    <w:rsid w:val="009154F2"/>
    <w:pPr>
      <w:tabs>
        <w:tab w:val="center" w:pos="4419"/>
        <w:tab w:val="right" w:pos="8838"/>
      </w:tabs>
    </w:pPr>
  </w:style>
  <w:style w:type="character" w:customStyle="1" w:styleId="EncabezadoCar">
    <w:name w:val="Encabezado Car"/>
    <w:basedOn w:val="Fuentedeprrafopredeter"/>
    <w:link w:val="Encabezado"/>
    <w:uiPriority w:val="99"/>
    <w:rsid w:val="009154F2"/>
    <w:rPr>
      <w:rFonts w:ascii="Calibri" w:hAnsi="Calibri" w:cs="Calibri"/>
    </w:rPr>
  </w:style>
  <w:style w:type="paragraph" w:styleId="Piedepgina">
    <w:name w:val="footer"/>
    <w:basedOn w:val="Normal"/>
    <w:link w:val="PiedepginaCar"/>
    <w:uiPriority w:val="99"/>
    <w:unhideWhenUsed/>
    <w:rsid w:val="009154F2"/>
    <w:pPr>
      <w:tabs>
        <w:tab w:val="center" w:pos="4419"/>
        <w:tab w:val="right" w:pos="8838"/>
      </w:tabs>
    </w:pPr>
  </w:style>
  <w:style w:type="character" w:customStyle="1" w:styleId="PiedepginaCar">
    <w:name w:val="Pie de página Car"/>
    <w:basedOn w:val="Fuentedeprrafopredeter"/>
    <w:link w:val="Piedepgina"/>
    <w:uiPriority w:val="99"/>
    <w:rsid w:val="009154F2"/>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8BC"/>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semiHidden/>
    <w:unhideWhenUsed/>
    <w:rsid w:val="00C408BC"/>
  </w:style>
  <w:style w:type="character" w:customStyle="1" w:styleId="TextosinformatoCar">
    <w:name w:val="Texto sin formato Car"/>
    <w:basedOn w:val="Fuentedeprrafopredeter"/>
    <w:link w:val="Textosinformato"/>
    <w:uiPriority w:val="99"/>
    <w:semiHidden/>
    <w:rsid w:val="00C408BC"/>
    <w:rPr>
      <w:rFonts w:ascii="Calibri" w:hAnsi="Calibri" w:cs="Calibri"/>
    </w:rPr>
  </w:style>
  <w:style w:type="paragraph" w:styleId="Textodeglobo">
    <w:name w:val="Balloon Text"/>
    <w:basedOn w:val="Normal"/>
    <w:link w:val="TextodegloboCar"/>
    <w:uiPriority w:val="99"/>
    <w:semiHidden/>
    <w:unhideWhenUsed/>
    <w:rsid w:val="00C408BC"/>
    <w:rPr>
      <w:rFonts w:ascii="Tahoma" w:hAnsi="Tahoma" w:cs="Tahoma"/>
      <w:sz w:val="16"/>
      <w:szCs w:val="16"/>
    </w:rPr>
  </w:style>
  <w:style w:type="character" w:customStyle="1" w:styleId="TextodegloboCar">
    <w:name w:val="Texto de globo Car"/>
    <w:basedOn w:val="Fuentedeprrafopredeter"/>
    <w:link w:val="Textodeglobo"/>
    <w:uiPriority w:val="99"/>
    <w:semiHidden/>
    <w:rsid w:val="00C408BC"/>
    <w:rPr>
      <w:rFonts w:ascii="Tahoma" w:hAnsi="Tahoma" w:cs="Tahoma"/>
      <w:sz w:val="16"/>
      <w:szCs w:val="16"/>
    </w:rPr>
  </w:style>
  <w:style w:type="character" w:styleId="Hipervnculo">
    <w:name w:val="Hyperlink"/>
    <w:basedOn w:val="Fuentedeprrafopredeter"/>
    <w:uiPriority w:val="99"/>
    <w:unhideWhenUsed/>
    <w:rsid w:val="004B3596"/>
    <w:rPr>
      <w:color w:val="0000FF"/>
      <w:u w:val="single"/>
    </w:rPr>
  </w:style>
  <w:style w:type="paragraph" w:styleId="Textonotapie">
    <w:name w:val="footnote text"/>
    <w:basedOn w:val="Normal"/>
    <w:link w:val="TextonotapieCar"/>
    <w:uiPriority w:val="99"/>
    <w:semiHidden/>
    <w:unhideWhenUsed/>
    <w:rsid w:val="00D87256"/>
    <w:rPr>
      <w:sz w:val="20"/>
      <w:szCs w:val="20"/>
    </w:rPr>
  </w:style>
  <w:style w:type="character" w:customStyle="1" w:styleId="TextonotapieCar">
    <w:name w:val="Texto nota pie Car"/>
    <w:basedOn w:val="Fuentedeprrafopredeter"/>
    <w:link w:val="Textonotapie"/>
    <w:uiPriority w:val="99"/>
    <w:semiHidden/>
    <w:rsid w:val="00D87256"/>
    <w:rPr>
      <w:rFonts w:ascii="Calibri" w:hAnsi="Calibri" w:cs="Calibri"/>
      <w:sz w:val="20"/>
      <w:szCs w:val="20"/>
    </w:rPr>
  </w:style>
  <w:style w:type="character" w:styleId="Refdenotaalpie">
    <w:name w:val="footnote reference"/>
    <w:basedOn w:val="Fuentedeprrafopredeter"/>
    <w:uiPriority w:val="99"/>
    <w:semiHidden/>
    <w:unhideWhenUsed/>
    <w:rsid w:val="00D87256"/>
    <w:rPr>
      <w:vertAlign w:val="superscript"/>
    </w:rPr>
  </w:style>
  <w:style w:type="paragraph" w:styleId="Encabezado">
    <w:name w:val="header"/>
    <w:basedOn w:val="Normal"/>
    <w:link w:val="EncabezadoCar"/>
    <w:uiPriority w:val="99"/>
    <w:unhideWhenUsed/>
    <w:rsid w:val="009154F2"/>
    <w:pPr>
      <w:tabs>
        <w:tab w:val="center" w:pos="4419"/>
        <w:tab w:val="right" w:pos="8838"/>
      </w:tabs>
    </w:pPr>
  </w:style>
  <w:style w:type="character" w:customStyle="1" w:styleId="EncabezadoCar">
    <w:name w:val="Encabezado Car"/>
    <w:basedOn w:val="Fuentedeprrafopredeter"/>
    <w:link w:val="Encabezado"/>
    <w:uiPriority w:val="99"/>
    <w:rsid w:val="009154F2"/>
    <w:rPr>
      <w:rFonts w:ascii="Calibri" w:hAnsi="Calibri" w:cs="Calibri"/>
    </w:rPr>
  </w:style>
  <w:style w:type="paragraph" w:styleId="Piedepgina">
    <w:name w:val="footer"/>
    <w:basedOn w:val="Normal"/>
    <w:link w:val="PiedepginaCar"/>
    <w:uiPriority w:val="99"/>
    <w:unhideWhenUsed/>
    <w:rsid w:val="009154F2"/>
    <w:pPr>
      <w:tabs>
        <w:tab w:val="center" w:pos="4419"/>
        <w:tab w:val="right" w:pos="8838"/>
      </w:tabs>
    </w:pPr>
  </w:style>
  <w:style w:type="character" w:customStyle="1" w:styleId="PiedepginaCar">
    <w:name w:val="Pie de página Car"/>
    <w:basedOn w:val="Fuentedeprrafopredeter"/>
    <w:link w:val="Piedepgina"/>
    <w:uiPriority w:val="99"/>
    <w:rsid w:val="009154F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69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fepale.org/es/fepale-en-accion/64-noticias/387-se-realizo-la-30o-reunion-del-consejo-directivo-de-fepale.html" TargetMode="External"/><Relationship Id="rId2" Type="http://schemas.openxmlformats.org/officeDocument/2006/relationships/hyperlink" Target="http://www.tetrapak.com/es/SiteCollectionDocuments/Indice_Lacteo_de_Tetra_Pak/Indice_L&#225;cteo_TP_3.pdf" TargetMode="External"/><Relationship Id="rId1" Type="http://schemas.openxmlformats.org/officeDocument/2006/relationships/hyperlink" Target="http://www.americaeconomia.com/negocios-industrias/demanda-mundial-de-lacteos-crecera-un-ritmo-anual-de-2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7D27A-CA4C-40CE-A9FF-4B1C75B12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782</Words>
  <Characters>4305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Avendaño Cruz</dc:creator>
  <cp:lastModifiedBy>Hernan Avendaño Cruz</cp:lastModifiedBy>
  <cp:revision>15</cp:revision>
  <dcterms:created xsi:type="dcterms:W3CDTF">2012-05-17T14:20:00Z</dcterms:created>
  <dcterms:modified xsi:type="dcterms:W3CDTF">2012-05-17T19:56:00Z</dcterms:modified>
</cp:coreProperties>
</file>